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bookmarkStart w:id="0" w:name="_Hlk146103184"/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 xml:space="preserve">UCHWAŁA NR </w:t>
      </w:r>
      <w:r w:rsidR="00867E6C">
        <w:rPr>
          <w:rFonts w:cs="Times New Roman"/>
          <w:bCs/>
          <w:caps/>
          <w:color w:val="000000"/>
          <w:spacing w:val="13"/>
          <w:sz w:val="20"/>
          <w:szCs w:val="20"/>
        </w:rPr>
        <w:t>224</w:t>
      </w:r>
      <w:bookmarkStart w:id="1" w:name="_GoBack"/>
      <w:bookmarkEnd w:id="1"/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/2023</w:t>
      </w:r>
    </w:p>
    <w:p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PAŃSTWOWEJ KOMISJI WYBORCZEJ</w:t>
      </w:r>
    </w:p>
    <w:p w:rsidR="00EA4808" w:rsidRPr="0062345A" w:rsidRDefault="00EA4808" w:rsidP="00EA4808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z dnia 2 października 2023 r.</w:t>
      </w:r>
    </w:p>
    <w:p w:rsidR="00EA4808" w:rsidRPr="0062345A" w:rsidRDefault="00EA4808" w:rsidP="00EA4808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bCs/>
          <w:color w:val="000000"/>
          <w:sz w:val="20"/>
          <w:szCs w:val="20"/>
        </w:rPr>
      </w:pPr>
      <w:r w:rsidRPr="0062345A">
        <w:rPr>
          <w:rFonts w:cs="Times New Roman"/>
          <w:bCs/>
          <w:color w:val="000000"/>
          <w:sz w:val="20"/>
          <w:szCs w:val="20"/>
        </w:rPr>
        <w:t>zmieniająca uchwałę w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sprawie wytycznych dla obwodowych komisji wyborczych dotyczących zadań i trybu przygotowania oraz przeprowadzenia głosowania w obwodach głosowania utworzonych w kraju w wyborach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do</w:t>
      </w:r>
      <w:r w:rsidR="002C19EC" w:rsidRPr="0062345A">
        <w:rPr>
          <w:rFonts w:cs="Times New Roman"/>
          <w:bCs/>
          <w:color w:val="000000"/>
          <w:sz w:val="20"/>
          <w:szCs w:val="20"/>
        </w:rPr>
        <w:t> </w:t>
      </w:r>
      <w:r w:rsidRPr="0062345A">
        <w:rPr>
          <w:rFonts w:cs="Times New Roman"/>
          <w:bCs/>
          <w:color w:val="000000"/>
          <w:sz w:val="20"/>
          <w:szCs w:val="20"/>
        </w:rPr>
        <w:t>Sejmu Rzeczypospolitej Polskiej i do Senatu Rzeczypospolitej Polskiej oraz w referendum ogólnokrajowym zarządzonych na dzień 15 października 2023 r.</w:t>
      </w:r>
    </w:p>
    <w:bookmarkEnd w:id="0"/>
    <w:p w:rsidR="00EA4808" w:rsidRPr="0062345A" w:rsidRDefault="00EA4808" w:rsidP="00EA4808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Na podstawie art. 161 § 1 ustawy z dnia 5 stycznia 2011 r. – Kodeks wyborczy (Dz. U. z 2022 r. poz. 1277 i 2418 oraz z 2023 r. </w:t>
      </w:r>
      <w:r w:rsidRPr="0062345A">
        <w:rPr>
          <w:rFonts w:cs="Times New Roman"/>
          <w:sz w:val="20"/>
          <w:szCs w:val="20"/>
        </w:rPr>
        <w:t>poz. 497), w związku z art. 5 ust. 5, art. 90 ust.1 pkt 2 i art. 92 ust. 1 ustawy z dnia 14 marca 2003</w:t>
      </w:r>
      <w:r w:rsidR="002C19EC" w:rsidRPr="0062345A">
        <w:rPr>
          <w:rFonts w:cs="Times New Roman"/>
          <w:sz w:val="20"/>
          <w:szCs w:val="20"/>
        </w:rPr>
        <w:t> </w:t>
      </w:r>
      <w:r w:rsidRPr="0062345A">
        <w:rPr>
          <w:rFonts w:cs="Times New Roman"/>
          <w:sz w:val="20"/>
          <w:szCs w:val="20"/>
        </w:rPr>
        <w:t>r. o referendum ogólnokrajowym (Dz. U. z 2020 r. poz. 851 oraz z 2023 r. poz. 497 i 1628), Państwowa Komisja Wyborcza uchwala, co następuje:</w:t>
      </w:r>
    </w:p>
    <w:p w:rsidR="002C19EC" w:rsidRPr="0062345A" w:rsidRDefault="00EA4808" w:rsidP="002C19EC">
      <w:pPr>
        <w:spacing w:before="240" w:after="0" w:line="240" w:lineRule="atLeast"/>
        <w:ind w:firstLine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§ 1. W </w:t>
      </w:r>
      <w:r w:rsidR="00F97028" w:rsidRPr="0062345A">
        <w:rPr>
          <w:rFonts w:cs="Times New Roman"/>
          <w:color w:val="000000"/>
          <w:sz w:val="20"/>
          <w:szCs w:val="20"/>
        </w:rPr>
        <w:t>załączniku do u</w:t>
      </w:r>
      <w:r w:rsidRPr="0062345A">
        <w:rPr>
          <w:rFonts w:cs="Times New Roman"/>
          <w:color w:val="000000"/>
          <w:sz w:val="20"/>
          <w:szCs w:val="20"/>
        </w:rPr>
        <w:t>chwa</w:t>
      </w:r>
      <w:r w:rsidR="00F97028" w:rsidRPr="0062345A">
        <w:rPr>
          <w:rFonts w:cs="Times New Roman"/>
          <w:color w:val="000000"/>
          <w:sz w:val="20"/>
          <w:szCs w:val="20"/>
        </w:rPr>
        <w:t xml:space="preserve">ły </w:t>
      </w:r>
      <w:r w:rsidR="002C19EC" w:rsidRPr="0062345A">
        <w:rPr>
          <w:rFonts w:cs="Times New Roman"/>
          <w:color w:val="000000"/>
          <w:sz w:val="20"/>
          <w:szCs w:val="20"/>
        </w:rPr>
        <w:t>nr 211/2023 Państwowej Komisji Wyborczej z dnia 25 września 2023 r. w sprawie wytycznych dla obwodowych komisji wyborczych dotyczących zadań i trybu przygotowania oraz przeprowadzenia głosowania w obwodach głosowania utworzonych w kraju w wyborach do Sejmu Rzeczypospolitej Polskiej i do Senatu Rzeczypospolitej Polskiej oraz w referendum ogólnokrajowym zarządzonych na dzień 15 października 2023 r.</w:t>
      </w:r>
      <w:r w:rsidRPr="0062345A">
        <w:rPr>
          <w:rFonts w:cs="Times New Roman"/>
          <w:color w:val="000000"/>
          <w:sz w:val="20"/>
          <w:szCs w:val="20"/>
        </w:rPr>
        <w:t xml:space="preserve"> </w:t>
      </w:r>
      <w:r w:rsidR="002C19EC" w:rsidRPr="0062345A">
        <w:rPr>
          <w:rFonts w:cs="Times New Roman"/>
          <w:color w:val="000000"/>
          <w:sz w:val="20"/>
          <w:szCs w:val="20"/>
        </w:rPr>
        <w:t>(M.P. poz. …) wprowadza się następujące zmiany:</w:t>
      </w:r>
    </w:p>
    <w:p w:rsidR="00845569" w:rsidRPr="0062345A" w:rsidRDefault="00845569" w:rsidP="00845569">
      <w:pPr>
        <w:pStyle w:val="Akapitzlist"/>
        <w:numPr>
          <w:ilvl w:val="0"/>
          <w:numId w:val="4"/>
        </w:numPr>
        <w:spacing w:before="240" w:after="0" w:line="240" w:lineRule="atLeast"/>
        <w:ind w:left="426" w:hanging="426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pkt 52 otrzymuje brzmienie:</w:t>
      </w:r>
    </w:p>
    <w:p w:rsidR="00845569" w:rsidRPr="0062345A" w:rsidRDefault="00845569" w:rsidP="00E77F0B">
      <w:pPr>
        <w:pStyle w:val="Akapitzlist"/>
        <w:spacing w:before="120" w:after="0" w:line="240" w:lineRule="atLeast"/>
        <w:ind w:left="425" w:firstLine="0"/>
        <w:contextualSpacing w:val="0"/>
        <w:jc w:val="both"/>
        <w:rPr>
          <w:rFonts w:cs="Times New Roman"/>
          <w:bCs/>
          <w:sz w:val="20"/>
          <w:szCs w:val="20"/>
        </w:rPr>
      </w:pPr>
      <w:r w:rsidRPr="0062345A">
        <w:rPr>
          <w:rFonts w:cs="Times New Roman"/>
          <w:bCs/>
          <w:sz w:val="20"/>
          <w:szCs w:val="20"/>
        </w:rPr>
        <w:t xml:space="preserve">„52. W przypadku gdy wyborca potwierdził odbiór kart do głosowania, odebrał karty i oddalił się od komisji, a następnie wrócił do komisji w celu zwrócenia jednej lub więcej kart, komisja bezwzględnie odmawia ich przyjęcia. Gdyby wyborca mimo wszystko pozostawił kartę lub karty w lokalu wyborczym, </w:t>
      </w:r>
      <w:r w:rsidRPr="0062345A">
        <w:rPr>
          <w:rFonts w:cs="Times New Roman"/>
          <w:color w:val="000000"/>
          <w:sz w:val="20"/>
          <w:szCs w:val="20"/>
        </w:rPr>
        <w:t>komisja nie</w:t>
      </w:r>
      <w:r w:rsidR="00770094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 xml:space="preserve">jest uprawniona do wrzucenia jej do urny wyborczej. </w:t>
      </w:r>
      <w:r w:rsidRPr="0062345A">
        <w:rPr>
          <w:rFonts w:cs="Times New Roman"/>
          <w:bCs/>
          <w:sz w:val="20"/>
          <w:szCs w:val="20"/>
        </w:rPr>
        <w:t>W takim przypadku oddanej karty do</w:t>
      </w:r>
      <w:r w:rsidR="00770094" w:rsidRPr="0062345A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głosowania nie uwzględnia się w obliczeniach. Oddaną kartę należy zapakować w odrębny pakiet, opieczętować go</w:t>
      </w:r>
      <w:r w:rsidR="003148A7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i</w:t>
      </w:r>
      <w:r w:rsidR="003148A7">
        <w:rPr>
          <w:rFonts w:cs="Times New Roman"/>
          <w:bCs/>
          <w:sz w:val="20"/>
          <w:szCs w:val="20"/>
        </w:rPr>
        <w:t> </w:t>
      </w:r>
      <w:r w:rsidRPr="0062345A">
        <w:rPr>
          <w:rFonts w:cs="Times New Roman"/>
          <w:bCs/>
          <w:sz w:val="20"/>
          <w:szCs w:val="20"/>
        </w:rPr>
        <w:t>opisać. Informację o oddaniu karty do głosowania należy odnotować we właściwym protokole głosowania (patrz pkt 102).</w:t>
      </w:r>
      <w:r w:rsidR="0090002C" w:rsidRPr="0062345A">
        <w:rPr>
          <w:rFonts w:cs="Times New Roman"/>
          <w:bCs/>
          <w:sz w:val="20"/>
          <w:szCs w:val="20"/>
        </w:rPr>
        <w:t>”;</w:t>
      </w:r>
    </w:p>
    <w:p w:rsidR="002C19EC" w:rsidRPr="0062345A" w:rsidRDefault="002C19EC" w:rsidP="00845569">
      <w:pPr>
        <w:pStyle w:val="Akapitzlist"/>
        <w:numPr>
          <w:ilvl w:val="0"/>
          <w:numId w:val="4"/>
        </w:numPr>
        <w:spacing w:before="120" w:after="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pkt 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 xml:space="preserve">43 i 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>44 otrzymują brzmienie:</w:t>
      </w:r>
    </w:p>
    <w:p w:rsidR="002C19EC" w:rsidRPr="0062345A" w:rsidRDefault="002C19EC" w:rsidP="00E77F0B">
      <w:pPr>
        <w:pStyle w:val="Akapitzlist"/>
        <w:autoSpaceDE w:val="0"/>
        <w:autoSpaceDN w:val="0"/>
        <w:adjustRightInd w:val="0"/>
        <w:spacing w:before="120" w:after="0" w:line="240" w:lineRule="atLeast"/>
        <w:ind w:left="425" w:firstLine="0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</w:t>
      </w:r>
      <w:r w:rsidR="00845569" w:rsidRPr="0062345A">
        <w:rPr>
          <w:rFonts w:cs="Times New Roman"/>
          <w:color w:val="000000"/>
          <w:sz w:val="20"/>
          <w:szCs w:val="20"/>
        </w:rPr>
        <w:t>1</w:t>
      </w:r>
      <w:r w:rsidRPr="0062345A">
        <w:rPr>
          <w:rFonts w:cs="Times New Roman"/>
          <w:color w:val="000000"/>
          <w:sz w:val="20"/>
          <w:szCs w:val="20"/>
        </w:rPr>
        <w:t>43. Ustalając, czy głos w zakresie danego pytania jest ważny czy nieważny, komisja stosuje poniższe reguły:</w:t>
      </w:r>
    </w:p>
    <w:p w:rsidR="002C19EC" w:rsidRPr="0062345A" w:rsidRDefault="002C19EC" w:rsidP="002C19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7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 przypadkach wątpliwych należy przyjmować, że znakiem „x” postawionym w kratce są co</w:t>
      </w:r>
      <w:r w:rsidR="00770094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najmniej dwie linie, które przecinają się w obrębie kratki. Ustalenie, czy postawiony znak jest znakiem „x” oraz</w:t>
      </w:r>
      <w:r w:rsidR="003148A7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czy</w:t>
      </w:r>
      <w:r w:rsidR="00770094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>postawiony jest on w kratce, czy poza nią, należy do komisji;</w:t>
      </w:r>
    </w:p>
    <w:p w:rsidR="002C19EC" w:rsidRPr="0062345A" w:rsidRDefault="002C19EC" w:rsidP="007700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wszelkie znaki, wykreślenia, przekreślenia, w tym również i znak „x” postawiony przez głosującego poza przeznaczoną na to kratką, traktuje się jako dopiski, które nie wpływają na ważność głosu;</w:t>
      </w:r>
    </w:p>
    <w:p w:rsidR="002C19EC" w:rsidRPr="0062345A" w:rsidRDefault="00B476F5" w:rsidP="0077009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dopisanie na karcie do głosowania dodatkowych pytań lub wariantów rozwiązania albo poczynienie innych dopisków poza kratką nie wpływa na ważność głosu.</w:t>
      </w:r>
    </w:p>
    <w:p w:rsidR="002C19EC" w:rsidRPr="0062345A" w:rsidRDefault="00845569" w:rsidP="00845569">
      <w:pPr>
        <w:autoSpaceDE w:val="0"/>
        <w:autoSpaceDN w:val="0"/>
        <w:adjustRightInd w:val="0"/>
        <w:spacing w:before="120" w:after="0" w:line="240" w:lineRule="atLeast"/>
        <w:ind w:left="426"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144. </w:t>
      </w:r>
      <w:r w:rsidR="002C19EC" w:rsidRPr="0062345A">
        <w:rPr>
          <w:rFonts w:cs="Times New Roman"/>
          <w:color w:val="000000"/>
          <w:sz w:val="20"/>
          <w:szCs w:val="20"/>
        </w:rPr>
        <w:t>Głosy nieważne, oddane na poszczególne pytania, są to głosy na kartach, na których:</w:t>
      </w:r>
    </w:p>
    <w:p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postawiono znak „x” w obu kratkach przy danym pytaniu;</w:t>
      </w:r>
    </w:p>
    <w:p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nie postawiono znaku „x” w żadnej z kratek przy danym pytaniu;</w:t>
      </w:r>
    </w:p>
    <w:p w:rsidR="002C19EC" w:rsidRPr="0062345A" w:rsidRDefault="002C19EC" w:rsidP="007700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w jednej lub obu kratkach przy danym pytaniu umieszczono znak lub znaki niebędące znakami „x”</w:t>
      </w:r>
      <w:r w:rsidR="0062345A" w:rsidRPr="0062345A">
        <w:rPr>
          <w:rFonts w:cs="Times New Roman"/>
          <w:color w:val="000000"/>
          <w:sz w:val="20"/>
          <w:szCs w:val="20"/>
        </w:rPr>
        <w:t>, tj</w:t>
      </w:r>
      <w:r w:rsidRPr="0062345A">
        <w:rPr>
          <w:rFonts w:cs="Times New Roman"/>
          <w:color w:val="000000"/>
          <w:sz w:val="20"/>
          <w:szCs w:val="20"/>
        </w:rPr>
        <w:t>.</w:t>
      </w:r>
      <w:r w:rsidR="003148A7">
        <w:rPr>
          <w:rFonts w:cs="Times New Roman"/>
          <w:color w:val="000000"/>
          <w:sz w:val="20"/>
          <w:szCs w:val="20"/>
        </w:rPr>
        <w:t> </w:t>
      </w:r>
      <w:r w:rsidR="0062345A" w:rsidRPr="0062345A">
        <w:rPr>
          <w:rFonts w:cs="Times New Roman"/>
          <w:color w:val="000000"/>
          <w:sz w:val="20"/>
          <w:szCs w:val="20"/>
        </w:rPr>
        <w:t>co</w:t>
      </w:r>
      <w:r w:rsidR="00786D76">
        <w:rPr>
          <w:rFonts w:cs="Times New Roman"/>
          <w:color w:val="000000"/>
          <w:sz w:val="20"/>
          <w:szCs w:val="20"/>
        </w:rPr>
        <w:t> </w:t>
      </w:r>
      <w:r w:rsidR="0062345A" w:rsidRPr="0062345A">
        <w:rPr>
          <w:rFonts w:cs="Times New Roman"/>
          <w:color w:val="000000"/>
          <w:sz w:val="20"/>
          <w:szCs w:val="20"/>
        </w:rPr>
        <w:t>najmniej dwoma przecinającymi się liniami</w:t>
      </w:r>
      <w:r w:rsidR="00E75B8D">
        <w:rPr>
          <w:rFonts w:cs="Times New Roman"/>
          <w:color w:val="000000"/>
          <w:sz w:val="20"/>
          <w:szCs w:val="20"/>
        </w:rPr>
        <w:t>.</w:t>
      </w:r>
      <w:r w:rsidR="0090002C" w:rsidRPr="0062345A">
        <w:rPr>
          <w:rFonts w:cs="Times New Roman"/>
          <w:color w:val="000000"/>
          <w:sz w:val="20"/>
          <w:szCs w:val="20"/>
        </w:rPr>
        <w:t>”</w:t>
      </w:r>
      <w:r w:rsidR="00845569" w:rsidRPr="0062345A">
        <w:rPr>
          <w:rFonts w:cs="Times New Roman"/>
          <w:color w:val="000000"/>
          <w:sz w:val="20"/>
          <w:szCs w:val="20"/>
        </w:rPr>
        <w:t>;</w:t>
      </w:r>
    </w:p>
    <w:p w:rsidR="00845569" w:rsidRPr="0062345A" w:rsidRDefault="00845569" w:rsidP="0062345A">
      <w:pPr>
        <w:pStyle w:val="Akapitzlist"/>
        <w:numPr>
          <w:ilvl w:val="0"/>
          <w:numId w:val="4"/>
        </w:numPr>
        <w:spacing w:before="120" w:after="12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pkt 148 otrzymuje brzmienie</w:t>
      </w:r>
      <w:r w:rsidR="00770094" w:rsidRPr="0062345A">
        <w:rPr>
          <w:rFonts w:cs="Times New Roman"/>
          <w:color w:val="000000"/>
          <w:sz w:val="20"/>
          <w:szCs w:val="20"/>
        </w:rPr>
        <w:t>:</w:t>
      </w:r>
    </w:p>
    <w:p w:rsidR="00EA4808" w:rsidRPr="0062345A" w:rsidRDefault="00845569" w:rsidP="00770094">
      <w:pPr>
        <w:pStyle w:val="Akapitzlist"/>
        <w:spacing w:before="240" w:after="0" w:line="240" w:lineRule="atLeast"/>
        <w:ind w:left="425" w:firstLine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„148. </w:t>
      </w:r>
      <w:r w:rsidR="00EA4808" w:rsidRPr="0062345A">
        <w:rPr>
          <w:rFonts w:cs="Times New Roman"/>
          <w:color w:val="000000"/>
          <w:sz w:val="20"/>
          <w:szCs w:val="20"/>
        </w:rPr>
        <w:t>Suma liczby głosów nieważnych i liczby głosów ważnych ustalona dla danego pytania musi być równa liczbie kart ważnych (punkt 1</w:t>
      </w:r>
      <w:r w:rsidRPr="0062345A">
        <w:rPr>
          <w:rFonts w:cs="Times New Roman"/>
          <w:color w:val="000000"/>
          <w:sz w:val="20"/>
          <w:szCs w:val="20"/>
        </w:rPr>
        <w:t>2</w:t>
      </w:r>
      <w:r w:rsidR="00EA4808" w:rsidRPr="0062345A">
        <w:rPr>
          <w:rFonts w:cs="Times New Roman"/>
          <w:color w:val="000000"/>
          <w:sz w:val="20"/>
          <w:szCs w:val="20"/>
        </w:rPr>
        <w:t xml:space="preserve"> protokołu głosowania w referendum).</w:t>
      </w:r>
      <w:r w:rsidRPr="0062345A">
        <w:rPr>
          <w:rFonts w:cs="Times New Roman"/>
          <w:color w:val="000000"/>
          <w:sz w:val="20"/>
          <w:szCs w:val="20"/>
        </w:rPr>
        <w:t>”</w:t>
      </w:r>
      <w:r w:rsidR="000D0526" w:rsidRPr="0062345A">
        <w:rPr>
          <w:rFonts w:cs="Times New Roman"/>
          <w:color w:val="000000"/>
          <w:sz w:val="20"/>
          <w:szCs w:val="20"/>
        </w:rPr>
        <w:t>;</w:t>
      </w:r>
    </w:p>
    <w:p w:rsidR="000D0526" w:rsidRPr="0062345A" w:rsidRDefault="000D0526" w:rsidP="0062345A">
      <w:pPr>
        <w:pStyle w:val="Akapitzlist"/>
        <w:keepNext/>
        <w:keepLines/>
        <w:numPr>
          <w:ilvl w:val="0"/>
          <w:numId w:val="4"/>
        </w:numPr>
        <w:spacing w:before="120" w:after="0" w:line="240" w:lineRule="atLeast"/>
        <w:ind w:left="425" w:hanging="425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lastRenderedPageBreak/>
        <w:t>pkt 151 otrzymuje brzmienie:</w:t>
      </w:r>
    </w:p>
    <w:p w:rsidR="000D0526" w:rsidRPr="0062345A" w:rsidRDefault="000D0526" w:rsidP="0062345A">
      <w:pPr>
        <w:pStyle w:val="Akapitzlist"/>
        <w:keepNext/>
        <w:keepLines/>
        <w:spacing w:before="120" w:after="0" w:line="240" w:lineRule="atLeast"/>
        <w:ind w:left="425" w:firstLine="0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„Karty ważne z głosami nieważnymi, tj. karty ważne, na których chociażby na jedno (lub więcej) pytanie oddano głos nieważny, oraz z głosami ważnymi, tj. kartami ważnymi, na których na wszystkie cztery pytania oddano głosy ważn</w:t>
      </w:r>
      <w:r w:rsidR="00402CF7">
        <w:rPr>
          <w:rFonts w:cs="Times New Roman"/>
          <w:color w:val="000000"/>
          <w:sz w:val="20"/>
          <w:szCs w:val="20"/>
        </w:rPr>
        <w:t>e</w:t>
      </w:r>
      <w:r w:rsidRPr="0062345A">
        <w:rPr>
          <w:rFonts w:cs="Times New Roman"/>
          <w:color w:val="000000"/>
          <w:sz w:val="20"/>
          <w:szCs w:val="20"/>
        </w:rPr>
        <w:t xml:space="preserve">, należy zapakować w </w:t>
      </w:r>
      <w:r w:rsidR="006005F0" w:rsidRPr="0062345A">
        <w:rPr>
          <w:rFonts w:cs="Times New Roman"/>
          <w:color w:val="000000"/>
          <w:sz w:val="20"/>
          <w:szCs w:val="20"/>
        </w:rPr>
        <w:t xml:space="preserve">odrębne </w:t>
      </w:r>
      <w:r w:rsidRPr="0062345A">
        <w:rPr>
          <w:rFonts w:cs="Times New Roman"/>
          <w:color w:val="000000"/>
          <w:sz w:val="20"/>
          <w:szCs w:val="20"/>
        </w:rPr>
        <w:t>pakiety</w:t>
      </w:r>
      <w:r w:rsidR="0085439D">
        <w:rPr>
          <w:rFonts w:cs="Times New Roman"/>
          <w:color w:val="000000"/>
          <w:sz w:val="20"/>
          <w:szCs w:val="20"/>
        </w:rPr>
        <w:t>,</w:t>
      </w:r>
      <w:r w:rsidRPr="0062345A">
        <w:rPr>
          <w:rFonts w:cs="Times New Roman"/>
          <w:color w:val="000000"/>
          <w:sz w:val="20"/>
          <w:szCs w:val="20"/>
        </w:rPr>
        <w:t xml:space="preserve"> opieczętować je</w:t>
      </w:r>
      <w:r w:rsidR="00990E95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>i</w:t>
      </w:r>
      <w:r w:rsidR="00990E95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 xml:space="preserve">opisać odpowiednio: </w:t>
      </w:r>
    </w:p>
    <w:p w:rsidR="000D0526" w:rsidRPr="0062345A" w:rsidRDefault="000D0526" w:rsidP="000D052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86"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„Głosy nieważne z kart ważnych w referendum ogólnokrajowym zarządzonym na dzień 15</w:t>
      </w:r>
      <w:r w:rsidR="00990E95" w:rsidRPr="0062345A">
        <w:rPr>
          <w:rFonts w:cs="Times New Roman"/>
          <w:color w:val="000000"/>
          <w:sz w:val="20"/>
          <w:szCs w:val="20"/>
        </w:rPr>
        <w:t> </w:t>
      </w:r>
      <w:r w:rsidRPr="0062345A">
        <w:rPr>
          <w:rFonts w:cs="Times New Roman"/>
          <w:color w:val="000000"/>
          <w:sz w:val="20"/>
          <w:szCs w:val="20"/>
        </w:rPr>
        <w:t>października 2023 r. – .........................”;</w:t>
      </w:r>
    </w:p>
    <w:p w:rsidR="000D0526" w:rsidRPr="0062345A" w:rsidRDefault="000D0526" w:rsidP="00990E95">
      <w:pPr>
        <w:autoSpaceDE w:val="0"/>
        <w:autoSpaceDN w:val="0"/>
        <w:adjustRightInd w:val="0"/>
        <w:spacing w:after="0" w:line="240" w:lineRule="atLeast"/>
        <w:ind w:firstLine="3402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:rsidR="000D0526" w:rsidRPr="0062345A" w:rsidRDefault="000D0526" w:rsidP="007700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851" w:hanging="425"/>
        <w:contextualSpacing w:val="0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</w:rPr>
        <w:t>„Głosy ważne z kart ważnych w referendum ogólnokrajowym zarządzonym na dzień 15 października 2023 r. – .........................”.</w:t>
      </w:r>
    </w:p>
    <w:p w:rsidR="000D0526" w:rsidRPr="0062345A" w:rsidRDefault="000D0526" w:rsidP="00990E95">
      <w:pPr>
        <w:autoSpaceDE w:val="0"/>
        <w:autoSpaceDN w:val="0"/>
        <w:adjustRightInd w:val="0"/>
        <w:spacing w:after="0" w:line="240" w:lineRule="atLeast"/>
        <w:ind w:firstLine="1985"/>
        <w:jc w:val="both"/>
        <w:textAlignment w:val="center"/>
        <w:rPr>
          <w:rFonts w:cs="Times New Roman"/>
          <w:color w:val="000000"/>
          <w:sz w:val="20"/>
          <w:szCs w:val="20"/>
          <w:vertAlign w:val="superscript"/>
        </w:rPr>
      </w:pPr>
      <w:r w:rsidRPr="0062345A">
        <w:rPr>
          <w:rFonts w:cs="Times New Roman"/>
          <w:color w:val="000000"/>
          <w:sz w:val="20"/>
          <w:szCs w:val="20"/>
          <w:vertAlign w:val="superscript"/>
        </w:rPr>
        <w:t>(liczba)</w:t>
      </w:r>
    </w:p>
    <w:p w:rsidR="00845569" w:rsidRPr="0062345A" w:rsidRDefault="00990E95" w:rsidP="00770094">
      <w:pPr>
        <w:pStyle w:val="Akapitzlist"/>
        <w:spacing w:after="0" w:line="240" w:lineRule="atLeast"/>
        <w:ind w:left="425" w:firstLine="0"/>
        <w:contextualSpacing w:val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T</w:t>
      </w:r>
      <w:r w:rsidR="000D0526" w:rsidRPr="0062345A">
        <w:rPr>
          <w:rFonts w:cs="Times New Roman"/>
          <w:color w:val="000000"/>
          <w:sz w:val="20"/>
          <w:szCs w:val="20"/>
        </w:rPr>
        <w:t>ak</w:t>
      </w:r>
      <w:r w:rsidRPr="0062345A">
        <w:rPr>
          <w:rFonts w:cs="Times New Roman"/>
          <w:color w:val="000000"/>
          <w:sz w:val="20"/>
          <w:szCs w:val="20"/>
        </w:rPr>
        <w:t>ą</w:t>
      </w:r>
      <w:r w:rsidR="000D0526" w:rsidRPr="0062345A">
        <w:rPr>
          <w:rFonts w:cs="Times New Roman"/>
          <w:color w:val="000000"/>
          <w:sz w:val="20"/>
          <w:szCs w:val="20"/>
        </w:rPr>
        <w:t xml:space="preserve"> interpretacj</w:t>
      </w:r>
      <w:r w:rsidRPr="0062345A">
        <w:rPr>
          <w:rFonts w:cs="Times New Roman"/>
          <w:color w:val="000000"/>
          <w:sz w:val="20"/>
          <w:szCs w:val="20"/>
        </w:rPr>
        <w:t>ę</w:t>
      </w:r>
      <w:r w:rsidR="000D0526" w:rsidRPr="0062345A">
        <w:rPr>
          <w:rFonts w:cs="Times New Roman"/>
          <w:color w:val="000000"/>
          <w:sz w:val="20"/>
          <w:szCs w:val="20"/>
        </w:rPr>
        <w:t xml:space="preserve"> </w:t>
      </w:r>
      <w:r w:rsidRPr="0062345A">
        <w:rPr>
          <w:rFonts w:cs="Times New Roman"/>
          <w:color w:val="000000"/>
          <w:sz w:val="20"/>
          <w:szCs w:val="20"/>
        </w:rPr>
        <w:t xml:space="preserve">kart ważnych z głosami nieważnymi i kart ważnych z głosami ważnymi </w:t>
      </w:r>
      <w:r w:rsidR="000D0526" w:rsidRPr="0062345A">
        <w:rPr>
          <w:rFonts w:cs="Times New Roman"/>
          <w:color w:val="000000"/>
          <w:sz w:val="20"/>
          <w:szCs w:val="20"/>
        </w:rPr>
        <w:t>należy przyjąć wyłącznie podczas pakowania kart ważnych w</w:t>
      </w:r>
      <w:r w:rsidRPr="0062345A">
        <w:rPr>
          <w:rFonts w:cs="Times New Roman"/>
          <w:color w:val="000000"/>
          <w:sz w:val="20"/>
          <w:szCs w:val="20"/>
        </w:rPr>
        <w:t xml:space="preserve"> </w:t>
      </w:r>
      <w:r w:rsidR="000D0526" w:rsidRPr="0062345A">
        <w:rPr>
          <w:rFonts w:cs="Times New Roman"/>
          <w:color w:val="000000"/>
          <w:sz w:val="20"/>
          <w:szCs w:val="20"/>
        </w:rPr>
        <w:t>odrębne pakiety</w:t>
      </w:r>
      <w:r w:rsidRPr="0062345A">
        <w:rPr>
          <w:rFonts w:cs="Times New Roman"/>
          <w:color w:val="000000"/>
          <w:sz w:val="20"/>
          <w:szCs w:val="20"/>
        </w:rPr>
        <w:t>, o czym mowa powyżej.”.</w:t>
      </w:r>
    </w:p>
    <w:p w:rsidR="00770094" w:rsidRPr="0062345A" w:rsidRDefault="00770094" w:rsidP="00770094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§ 2. Uchwała wchodzi w życie z dniem podjęcia i podlega ogłoszeniu.</w:t>
      </w:r>
    </w:p>
    <w:p w:rsidR="00770094" w:rsidRPr="0062345A" w:rsidRDefault="00770094" w:rsidP="00770094">
      <w:pPr>
        <w:spacing w:before="840"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Przewodniczący</w:t>
      </w:r>
    </w:p>
    <w:p w:rsidR="00770094" w:rsidRPr="0062345A" w:rsidRDefault="00770094" w:rsidP="00770094">
      <w:pPr>
        <w:spacing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Państwowej Komisji Wyborczej</w:t>
      </w:r>
    </w:p>
    <w:p w:rsidR="00770094" w:rsidRPr="0062345A" w:rsidRDefault="00770094" w:rsidP="00770094">
      <w:pPr>
        <w:spacing w:before="240" w:after="0" w:line="360" w:lineRule="exact"/>
        <w:ind w:left="5400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Sylwester Marciniak</w:t>
      </w:r>
    </w:p>
    <w:p w:rsidR="00770094" w:rsidRPr="0062345A" w:rsidRDefault="00770094" w:rsidP="00770094">
      <w:pPr>
        <w:spacing w:after="0" w:line="360" w:lineRule="exact"/>
        <w:ind w:left="5400"/>
        <w:jc w:val="center"/>
        <w:rPr>
          <w:sz w:val="20"/>
          <w:szCs w:val="20"/>
          <w:vertAlign w:val="superscript"/>
        </w:rPr>
      </w:pPr>
      <w:r w:rsidRPr="0062345A">
        <w:rPr>
          <w:sz w:val="20"/>
          <w:szCs w:val="20"/>
          <w:vertAlign w:val="superscript"/>
        </w:rPr>
        <w:t>(dokument podpisany elektronicznie)</w:t>
      </w:r>
    </w:p>
    <w:sectPr w:rsidR="00770094" w:rsidRPr="0062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2BF6"/>
    <w:multiLevelType w:val="hybridMultilevel"/>
    <w:tmpl w:val="790AD696"/>
    <w:lvl w:ilvl="0" w:tplc="09A6782A">
      <w:start w:val="4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545238"/>
    <w:multiLevelType w:val="hybridMultilevel"/>
    <w:tmpl w:val="47B2D4EE"/>
    <w:lvl w:ilvl="0" w:tplc="25F479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2B59"/>
    <w:multiLevelType w:val="hybridMultilevel"/>
    <w:tmpl w:val="D41A626E"/>
    <w:lvl w:ilvl="0" w:tplc="6C16E2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7281533"/>
    <w:multiLevelType w:val="hybridMultilevel"/>
    <w:tmpl w:val="9FCE4AF4"/>
    <w:lvl w:ilvl="0" w:tplc="D7904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66E80"/>
    <w:multiLevelType w:val="hybridMultilevel"/>
    <w:tmpl w:val="730AD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B122DA"/>
    <w:multiLevelType w:val="hybridMultilevel"/>
    <w:tmpl w:val="A1502ADE"/>
    <w:lvl w:ilvl="0" w:tplc="E3B2B064">
      <w:start w:val="1"/>
      <w:numFmt w:val="decimal"/>
      <w:lvlText w:val="%1)"/>
      <w:lvlJc w:val="left"/>
      <w:pPr>
        <w:ind w:left="114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08"/>
    <w:rsid w:val="000D0526"/>
    <w:rsid w:val="00203CC1"/>
    <w:rsid w:val="00240244"/>
    <w:rsid w:val="002C19EC"/>
    <w:rsid w:val="003148A7"/>
    <w:rsid w:val="003A2623"/>
    <w:rsid w:val="00402CF7"/>
    <w:rsid w:val="006005F0"/>
    <w:rsid w:val="0062345A"/>
    <w:rsid w:val="00770094"/>
    <w:rsid w:val="00786D76"/>
    <w:rsid w:val="00845569"/>
    <w:rsid w:val="0085439D"/>
    <w:rsid w:val="00867E6C"/>
    <w:rsid w:val="0090002C"/>
    <w:rsid w:val="00990E95"/>
    <w:rsid w:val="00B42B38"/>
    <w:rsid w:val="00B476F5"/>
    <w:rsid w:val="00E75B8D"/>
    <w:rsid w:val="00E77F0B"/>
    <w:rsid w:val="00EA4808"/>
    <w:rsid w:val="00F9702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1C1B"/>
  <w15:chartTrackingRefBased/>
  <w15:docId w15:val="{030BEFCC-85E8-4648-979A-D275AE90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808"/>
    <w:pPr>
      <w:spacing w:after="200" w:line="360" w:lineRule="auto"/>
      <w:ind w:firstLine="708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Gąsior</dc:creator>
  <cp:keywords/>
  <dc:description/>
  <cp:lastModifiedBy>Zuzanna Słojewska</cp:lastModifiedBy>
  <cp:revision>13</cp:revision>
  <cp:lastPrinted>2023-10-02T08:32:00Z</cp:lastPrinted>
  <dcterms:created xsi:type="dcterms:W3CDTF">2023-10-01T11:29:00Z</dcterms:created>
  <dcterms:modified xsi:type="dcterms:W3CDTF">2023-10-02T10:09:00Z</dcterms:modified>
</cp:coreProperties>
</file>